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570</w:t>
      </w:r>
    </w:p>
    <w:p>
      <w:r>
        <w:t>Bundesgericht (BGE), 2012-11-27, FR</w:t>
      </w:r>
    </w:p>
    <w:p>
      <w:r>
        <w:rPr>
          <w:b/>
        </w:rPr>
        <w:t xml:space="preserve">Quelle: </w:t>
      </w:r>
      <w:r>
        <w:t>https://mcp.opencaselaw.ch/entscheid/bge_138 II 570</w:t>
      </w:r>
    </w:p>
    <w:p>
      <w:r>
        <w:t>FR: ATF 138 II 570</w:t>
      </w:r>
    </w:p>
    <w:p>
      <w:r>
        <w:t>IT: DTF 138 II 570</w:t>
      </w:r>
    </w:p>
    <w:p>
      <w:pPr>
        <w:pStyle w:val="Heading2"/>
      </w:pPr>
      <w:r>
        <w:t>Regeste</w:t>
      </w:r>
    </w:p>
    <w:p>
      <w:r>
        <w:t>Regeste Art. 24 RPG; Mobilfunkantenne zur Abdeckung der Landwirtschaftszone. Die geplante Antenne deckt hauptsächlich die Landwirtschaftszone ab, durch die eine Eisenbahnstrecke führt. Der Standort einer Mobilfunkantenne zur Abdeckung der Landwirtschaftszone muss einen engen funktionellen Bezug zum abgedeckten Gebiet haben. Die umstrittene Antenne erfordert im Sinne von Art. 24 lit. a RPG einen Standort in der Landwirtschaftszone (E. 4.2). Dem Vorhaben stehen keine überwiegenden Interessen entgegen (E. 4.3). Das Kantonsgericht musste nicht weiter untersuchen, ob ein anderer Standort in der Bauzone wesentlich vorteilhafter wäre als jener in der Landwirtschaftszone entlang der Bahnstrecke (E. 4.4).</w:t>
      </w:r>
    </w:p>
    <w:p>
      <w:pPr>
        <w:pStyle w:val="Heading2"/>
      </w:pPr>
      <w:r>
        <w:t>Erwägungen</w:t>
      </w:r>
    </w:p>
    <w:p>
      <w:r>
        <w:rPr>
          <w:b/>
        </w:rPr>
        <w:t>E. 4</w:t>
      </w:r>
    </w:p>
    <w:p>
      <w:r>
        <w:t>Situé dans la zone agricole, le projet d'installation de téléphonie mobile litigieux n'est pas conforme à l'affectation de cette zone. Il ne peut dès lors être autorisé que s'il remplit les conditions dérogatoires de l'art. 24 de loi fédérale du 22 juin 1979 sur l'aménagement du territoire (LAT; RS 700), ce qui est précisément contesté par les recourants. En vertu de l' art. 24 LAT ,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Ces deux conditions doivent être examinées séparément.</w:t>
      </w:r>
    </w:p>
    <w:p>
      <w:r>
        <w:rPr>
          <w:b/>
        </w:rPr>
        <w:t>E. 4.1</w:t>
      </w:r>
    </w:p>
    <w:p>
      <w:r>
        <w:t>En l'espèce, le Tribunal cantonal a considéré que l'implantation d'une nouvelle installation de communication GSM et UMTS sur le site de Lussy était justifiée dans son principe. Le projet permettait en effet d'améliorer la couverture GSM sur la ligne CFF et sur le haut des villages de Lussy et Villaz-St-Pierre ainsi que d'assurer une continuité dans la liaison UMTS et une connexion sans coupure dans la transmission des données sur la ligne CFF entre les sites de Romont (ROCA) et Villaz-St-Pierre (VIPI). La nécessité de l'implantation d'une nouvelle antenne de téléphone mobile sur le site de Lussy n'est pas discutée par les recourants. Les juges cantonaux ont ensuite retenu que l'antenne litigieuse, en tant qu'elle était accolée à un hangar agricole déjà construit, était "réalisée sur une construction existante" au sens de la jurisprudence. Les recourants estiment au contraire que l'implantation d'installations de BGE 138 II 570 S. 573 téléphonie mobile hors de la zone à bâtir n'est envisageable qu'en cas d'utilisation d'un support existant; tel ne serait pas le cas en l'espèce s'agissant de la réalisation d'un nouveau mât et de cabines au sol, fût-ce à côté d'une construction existante.</w:t>
      </w:r>
    </w:p>
    <w:p>
      <w:r>
        <w:rPr>
          <w:b/>
        </w:rPr>
        <w:t>E. 4.2</w:t>
      </w:r>
    </w:p>
    <w:p>
      <w:r>
        <w:t>L'antenne de téléphonie ici litigieuse a principalement pour but d'améliorer la couverture des communications GSM et d'assurer celle - inexistante pour l'instant - des communications UMTS sur la ligne CFF concernée. Accessoirement, elle améliorera la couverture GSM sur le haut des villages de Lussy et Villaz-St-Pierre. Il apparaît ainsi que l'installation projetée dessert avant tout la zone agricole à travers laquelle passe la ligne de chemin de fer Lausanne-Fribourg. Dans la mesure où la Confédération oblige les concessionnaires à assurer un service de téléphonie public pour l'ensemble de la population et dans tout le pays ( art. 92 al. 1 Cst. , art. 14 al. 1 et 16 al. 1 let. a de la loi du 30 avril 1997 sur les télécommunications [LTC; RS 784.10]), la couverture nécessaire à la téléphonie mobile vise tout le territoire suisse, qu'il soit bâti ou non. Dès lors, pour déterminer le lieu d'implantation d'une antenne de téléphonie mobile destinée à couvrir la zone agricole, il est déterminant que cet emplacement ait une relation fonctionnelle étroite avec la zone de couverture considérée (cf. ATF 138 II 173 consid. 5.3 p. 178). Dans ces circonstances, il apparaît que l'implantation de l'antenne litigieuse est ici imposée par sa destination au sens de l' art. 24 let. a LAT . Il convient cependant d'examiner encore - seconde condition nécessaire au régime dérogatoire de l' art. 24 LAT - si aucun intérêt prépondérant ne s'oppose à une telle installation ( art. 24 let. b LAT ).</w:t>
      </w:r>
    </w:p>
    <w:p>
      <w:r>
        <w:rPr>
          <w:b/>
        </w:rPr>
        <w:t>E. 4.3</w:t>
      </w:r>
    </w:p>
    <w:p>
      <w:r>
        <w:t>Dans le cadre de l'examen de l' art. 24 let. b LAT , il faut rechercher si le lieu d'implantation prévu par l'intimée peut être considéré comme admissible. A l'intérieur de la zone agricole, on veillera en particulier à ce que l'installation ne génère pas une désaffectation importante du terrain inconstructible, ce qui irait à l'encontre de l'intérêt prépondérant à maintenir l'affectation spécifique de chaque zone. Or, le projet litigieux ne porte précisément pas préjudice à ce but. L'installation projetée n'entraînerait en effet qu'un empiètement minime sur la surface agricole, dans la mesure où la superficie utilisée pour les armoires techniques et le support d'antenne est modeste et que la construction est prévue en applique du hangar existant. Quant à la hauteur du mât (25,01 m), elle n'est pas déterminante à elle seule: la cour cantonale a retenu sur ce point que l'emplacement choisi BGE 138 II 570 S. 574 permet de diminuer l'impact visuel de l'installation, dans un milieu largement bâti et à proximité d'une importante ligne de chemin de fer, et apparaît préférable à l'érection d'un tel mât sur une parcelle agricole vierge de toute construction. De telles considérations, qui entrent dans le cadre du pouvoir d'appréciation de l'autorité cantonale, ne violent pas l' art. 24 let. b LAT . S'agissant de l'utilisation des autres antennes de téléphonie mobile existantes, les recourants ne contestent pas que les mâts Orange (FR_0608C) et Sunrise (VD317-2) sis à Villaz-St-Pierre ne peuvent être mis à profit. Ils sont toutefois d'avis que les autorités intimées auraient dû prendre en considération l'antenne Orange (FR_2006A) qui se trouve à la limite des communes de Lussy et de Romont. Comme l'a relevé à bon droit le Tribunal cantonal, cette antenne, sise à 1'400 m du site litigieux, ne se situe pas dans le périmètre dans lequel un devoir de coordination existe (arrêt 1A.62/2001 du 24 octobre 2001 consid. 6c in fine) et ne saurait dès lors être un obstacle à la construction de l'installation projetée. Le Service cantonal de l'environnement (SEn) a au surplus précisé dans ses observations que l'utilisation de l'antenne FR_2006A permettrait certainement d'assurer une partie de la couverture UMTS des voies de chemin de fer, mais de manière insuffisante à rendre le site querellé inutile. Pour le surplus, il n'est pas nécessaire de démontrer que l'emplacement hors de la zone à bâtir est nettement plus favorable que celui situé en zone à bâtir. La présente problématique doit être distinguée des affaires que le Tribunal fédéral a déjà tranchées et auxquelles se sont référés tant la cour cantonale que les recourants ( ATF 133 II 321 consid. 4.3.3 p. 326 s.; ATF 133 II 409 consid. 4.2 p. 418). Cette jurisprudence traitait d'antennes de téléphonie mobile sises hors de la zone à bâtir, mais destinées à couvrir la zone à bâtir. Il ressort en effet des principes fondamentaux d'aménagement du territoire (cf. art. 75 al. 2 Cst. ) que les infrastructures desservant le milieu bâti - auxquelles appartiennent les antennes de téléphonie mobile - doivent en principe être réalisées dans la zone à bâtir qu'elles desservent ( ATF 138 II 173 consid. 5.3 p. 178; MUGGLI, in Commentaire de la loi fédérale sur l'aménagement du territoire, état: 2009, n° 21 ad art. 24 LAT ). Le régime dérogatoire prévu par la jurisprudence doit ainsi se comprendre dans ce contexte-là. En revanche, lorsque les installations en cause visent uniquement à desservir la zone agricole, la situation doit être envisagée différemment (cf. arrêt 1A.32/2005 du 8 décembre 2005 consid. 3.1 et les références). BGE 138 II 570 S. 575</w:t>
      </w:r>
    </w:p>
    <w:p>
      <w:r>
        <w:rPr>
          <w:b/>
        </w:rPr>
        <w:t>E. 4.4</w:t>
      </w:r>
    </w:p>
    <w:p>
      <w:r>
        <w:t>Au vu de ce qui précède, la cour cantonale n'avait pas à rechercher de manière plus approfondie si un autre emplacement en zone à bâtir était nettement plus favorable que celui sis en zone agricole, le long de la ligne de chemin de fer. L'argumentation contraire des recourants est ainsi sans portée. Pour le surplus, les autres conditions posées à l'implantation de l'antenne litigieuse sont réalisées, de sorte que l'autorisation en cause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